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Propofol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is commonly used to induce general anesthesia.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The mechanism of action appears to be mediated through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the central </w:t>
      </w:r>
      <m:oMath>
        <m:r>
          <w:rPr>
            <w:rFonts w:ascii="Cambria Math" w:hAnsi="Cambria Math" w:cstheme="majorBidi"/>
            <w:color w:val="000000"/>
            <w:sz w:val="30"/>
            <w:szCs w:val="30"/>
          </w:rPr>
          <m:t>γ</m:t>
        </m:r>
      </m:oMath>
      <w:r w:rsidRPr="0050182C">
        <w:rPr>
          <w:rFonts w:asciiTheme="majorBidi" w:hAnsiTheme="majorBidi" w:cstheme="majorBidi"/>
          <w:color w:val="000000"/>
          <w:sz w:val="30"/>
          <w:szCs w:val="30"/>
        </w:rPr>
        <w:t>-aminobutyric acid A (GABAA) receptors. Propofol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produces a rapid loss of consciousness, apnea in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sufficientdoses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, and a dose-dependent reduction in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vascularresistance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and preload. The hemodynamic effects of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propofol</w:t>
      </w:r>
      <w:proofErr w:type="spellEnd"/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can be greatly exaggerated in older patients, especially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if their intravascular volumes are depleted possibly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leading to significant cardiac or cerebral ischemia. The initial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dose of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propofol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should be reduced and the time interval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between repeated doses increased to prevent an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exaggerated and potentially prolonged hypotension.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Propofol</w:t>
      </w:r>
      <w:proofErr w:type="spellEnd"/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does allow for rapid recovery with minimal delayed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cognitive effects. Given in smaller total doses than in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younger adults,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propofol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infusions probably provide a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more stable hemodynamic course, but the dose required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for sedation should be reduced.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Etomidate, a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carboxylated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imidazole ring, has the disadvantage of producing some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disinhibitory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effects leading to development of myoclonus, which has been observed in 30% to 60% of patients. Yet its minimal cardiovascular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effects make it preferred in patients in whom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 decrease in blood pressure may not be tolerated. It is an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excellent anesthetic for an emergency situation. The volume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of distribution for etomidate is reduced with aging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and a 50% reduction in dose is recommended in patients80 years of age or older.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The anxiolytic and sedative properties of midazolam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make it an excellent premedication for anesthesia, and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the short duration, and absence of significant active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metabolites or </w:t>
      </w:r>
      <w:proofErr w:type="gramStart"/>
      <w:r w:rsidRPr="0050182C">
        <w:rPr>
          <w:rFonts w:asciiTheme="majorBidi" w:hAnsiTheme="majorBidi" w:cstheme="majorBidi"/>
          <w:color w:val="000000"/>
          <w:sz w:val="30"/>
          <w:szCs w:val="30"/>
        </w:rPr>
        <w:t>cardiovascular effects increases</w:t>
      </w:r>
      <w:proofErr w:type="gram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the utility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in the elderly population. Although pharmacokinetic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changes can prolong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lastRenderedPageBreak/>
        <w:t>elimination, especially in obese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elderly patients, the increase in sensitivity observed in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geriatric patients appears to be due mainly to a pharmacodynamics change within the benzodiazepine GABA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receptor unit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  <w:t>(</w:t>
      </w:r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Jacobs, </w:t>
      </w:r>
      <w:proofErr w:type="spellStart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Reves</w:t>
      </w:r>
      <w:proofErr w:type="spellEnd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, et al., 1995</w:t>
      </w:r>
      <w:r w:rsidRPr="0050182C"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  <w:t>)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In general the dose of midazolam should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be reduced by 50% and repeat doses administered in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increments of 0.5 mg or less. Older patients are susceptible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to midazolam-induced apnea, and when administered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during spinal anesthesia there may be an increased risk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of respiratory depression. Unwanted effects of midazolam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can be reversed with flumazenil. Long-acting benzodiazepines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have been associated with delirium in the elderly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due to prolonged clearance and active metabolites.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For these reasons, diazepam and lorazepam are not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recommended in elderly patients.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b/>
          <w:bCs/>
          <w:color w:val="000000"/>
          <w:sz w:val="30"/>
          <w:szCs w:val="30"/>
        </w:rPr>
        <w:t>Inhaled Anesthetics: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The minimum alveolar concentration (MAC) of inhaled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anesthetics decreases predictably by 6% every decade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after age 20 years. Thus, the MAC at age 90 years is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reduced by 30% compared to a 40-year-old. This change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most likely reflects a combination of age-related cerebral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atrophy and alterations in neurotransmitter balance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  <w:t>(</w:t>
      </w:r>
      <w:proofErr w:type="spellStart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Nickalls</w:t>
      </w:r>
      <w:proofErr w:type="spellEnd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, </w:t>
      </w:r>
      <w:proofErr w:type="spellStart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Mapleson</w:t>
      </w:r>
      <w:proofErr w:type="spellEnd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, 2003</w:t>
      </w:r>
      <w:r w:rsidRPr="0050182C"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  <w:t>)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b/>
          <w:bCs/>
          <w:color w:val="000000"/>
          <w:sz w:val="30"/>
          <w:szCs w:val="30"/>
        </w:rPr>
        <w:t>Muscle Relaxants: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Aging does not increase sensitivity to muscle relaxants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at the neuromuscular junction. Of course, age-related diseases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(e.g., kidney dysfunction) may increase sensitivity.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Furthermore, decreases in hepatic metabolism and renal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clearance may lead to delayed elimination of non</w:t>
      </w:r>
      <w:r>
        <w:rPr>
          <w:rFonts w:asciiTheme="majorBidi" w:hAnsiTheme="majorBidi" w:cstheme="majorBidi"/>
          <w:color w:val="000000"/>
          <w:sz w:val="30"/>
          <w:szCs w:val="30"/>
        </w:rPr>
        <w:t>-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depolarizing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agents. This is most prominent for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pancuronium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>,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for which 85% is eliminated through renal clearance, and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the drug probably should be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lastRenderedPageBreak/>
        <w:t>avoided in elderly patients.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Vecuronium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and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rocuronium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are less dependent on renal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excretion and their effects are less likely to be significantly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prolonged.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Cisatracurium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and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atracurium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are dependent on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Hoffman elimination that is not impacted by aging or renal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or hepatic function. To ensure complete recovery from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neuro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muscular blockade, monitoring of neuromuscular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blockade should be done to assure that successive doses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are appropriate and complete reversal from neostigmine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or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sugammadex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has occurred prior to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extubation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of the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trachea. In the older patient, even a small degree of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weakness can result in a clinically significant respiratory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incident during transport to and while in the post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anesthesia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care unit (PACU).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b/>
          <w:bCs/>
          <w:color w:val="000000"/>
          <w:sz w:val="30"/>
          <w:szCs w:val="30"/>
        </w:rPr>
        <w:t>OPIOIDS: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Pharmacodynamic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changes in elderly patients account for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the increase in the sensitivity of the brain to opioids, and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pharmacokinetic changes impacting elimination and distribution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of opioids are less significant. Opioid doses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should be reduced by 50% in older patients. Inter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individual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variability of opioid response is common among older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patients and it is important to titrate these drugs to desired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effect. Fentanyl is a popular short-acting lipid-soluble opioid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with a large volume of distribution. The dose should be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reduced by 50%, largely due to pharmacodynamics changes. Remifentanil is an ultrashort-acting mu receptor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agonist that is metabolized by plasma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esterases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>. The bolus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dose and the infusion rates should be reduced in the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elderly and titrated to effect. Morphine is one of the most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popular postoperative analgesics administered. In elderly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patients there is a reduction in the volume of distribution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and a potential accumulation of active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lastRenderedPageBreak/>
        <w:t>metabolites morphine3-glucuronide and morphine 6-glucuronide that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are eliminated via the kidneys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(</w:t>
      </w:r>
      <w:proofErr w:type="spellStart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Cepeda</w:t>
      </w:r>
      <w:proofErr w:type="spellEnd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, Farrar, et al., 2003)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Meperidine has been a popular opioid for sedation and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analgesia with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nonanesthesia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providers. In older patients,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administration of meperidine causes delirium, possibly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through anticholinergic mechanism and accumulation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of active metabolite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normeperidine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>. It is not recommended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for elderly patients for sedation or analgesia.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proofErr w:type="spellStart"/>
      <w:r w:rsidRPr="0050182C">
        <w:rPr>
          <w:rFonts w:asciiTheme="majorBidi" w:hAnsiTheme="majorBidi" w:cstheme="majorBidi"/>
          <w:b/>
          <w:bCs/>
          <w:color w:val="000000"/>
          <w:sz w:val="30"/>
          <w:szCs w:val="30"/>
        </w:rPr>
        <w:t>Neuraxial</w:t>
      </w:r>
      <w:proofErr w:type="spellEnd"/>
      <w:r w:rsidRPr="0050182C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Anesthesia: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Spinal and epidural anesthesia compared to general anesthesia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do not alter the 30-day mortality rate in elderly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patients. However, these techniques may be particularly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useful for a wide range of orthopedic procedures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suchas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hip fracture repair, lower extremity joint replacement,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transurethral resection of the prostate, and gynecologic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and lower extremity vascular procedures. Age-related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changes including calcification of the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interspinous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ligaments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and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ligamentumflavum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and narrowing of the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intervertebral foramina, combined with </w:t>
      </w:r>
      <w:proofErr w:type="gramStart"/>
      <w:r w:rsidRPr="0050182C">
        <w:rPr>
          <w:rFonts w:asciiTheme="majorBidi" w:hAnsiTheme="majorBidi" w:cstheme="majorBidi"/>
          <w:color w:val="000000"/>
          <w:sz w:val="30"/>
          <w:szCs w:val="30"/>
        </w:rPr>
        <w:t>a reduction</w:t>
      </w:r>
      <w:proofErr w:type="gram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inflexibility and difficulty positioning, may make the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placement of the needle for a spinal or epidural block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more challenging. Age-related changes can also lead to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exaggerated spread of the local anesthetic within the epidural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space and a higher than expected anesthetic level.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Similarly for spinal anesthesia, the cephalad spread maybe wider than expected and the dose of local anesthetic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should be reduced in older patients. Hypotension is the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most likely hemodynamic consequence of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neuraxial</w:t>
      </w:r>
      <w:proofErr w:type="spellEnd"/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anesthesia.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proofErr w:type="gramStart"/>
      <w:r w:rsidRPr="0050182C">
        <w:rPr>
          <w:rFonts w:asciiTheme="majorBidi" w:hAnsiTheme="majorBidi" w:cstheme="majorBidi"/>
          <w:color w:val="000000"/>
          <w:sz w:val="30"/>
          <w:szCs w:val="30"/>
        </w:rPr>
        <w:t>Hypotension is due to vasodilation from the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sympathetic blockade, causing a decrease in systemic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vascular resistance and central venous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lastRenderedPageBreak/>
        <w:t>pressure and are</w:t>
      </w:r>
      <w:proofErr w:type="gramEnd"/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distribution of blood volume to the extremities from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central splanchnic and mesenteric vascular beds. Hypotension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is of particular concern in very elderly patients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with limited cardiac reserve, and may be exaggerated inpatients with baseline hypertension. Pretreatment with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crystalloid does not consistently offset the hypotension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following a spinal block. Treatment of hypotension with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vasopressors, such as ephedrine and phenylephrine, is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frequently required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(Simon, Veering, et al., 2002)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b/>
          <w:bCs/>
          <w:color w:val="000000"/>
          <w:sz w:val="30"/>
          <w:szCs w:val="30"/>
        </w:rPr>
        <w:t>Postoperative Care: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  <w:t>Pain: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The treatment of intraoperative and postoperative pain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inthe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elderly patient is an important part of the anestheticplan.44–46 Age-related reduction in nerve conductivity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and receptors may lead older patients to experience less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pain following surgery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(</w:t>
      </w:r>
      <w:proofErr w:type="spellStart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Gibson&amp;Farrell</w:t>
      </w:r>
      <w:proofErr w:type="spellEnd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, 2004)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, but untreated pain can have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significant adverse consequences. Postoperative pain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has been associated with increased length of stay,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increased morbidity, pulmonary complications, and delirium.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The longer a patient stays in the hospital, the more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the risks of complications increase. Generational and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cultural issues may lead older patients to complain less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about pain, and elderly patients frequently have lower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expectations for successful treatment. For cognitively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intact elders patient-controlled analgesia (PCA) is the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preferred method for administering postoperative intravenous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narcotics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  <w:t>(</w:t>
      </w:r>
      <w:proofErr w:type="spellStart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Gagliese</w:t>
      </w:r>
      <w:proofErr w:type="spellEnd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, Jackson, et al., 2000</w:t>
      </w:r>
      <w:r w:rsidRPr="0050182C"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  <w:t>)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. Treatment of pain in patients with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significant dementia is challenging both to assess and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treat. If possible, pain should be assessed using a specially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designed pain scale such as the PAINAD. For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demented and nonverbal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lastRenderedPageBreak/>
        <w:t>elders, pain medication should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be offered on a regularly scheduled interval as opposed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to an as-needed basis.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Opioid use can be reduced by concomitant administration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of acetaminophen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(Remy, </w:t>
      </w:r>
      <w:proofErr w:type="spellStart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Marret</w:t>
      </w:r>
      <w:proofErr w:type="spellEnd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, et al., 2005)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. Non</w:t>
      </w:r>
      <w:r>
        <w:rPr>
          <w:rFonts w:asciiTheme="majorBidi" w:hAnsiTheme="majorBidi" w:cstheme="majorBidi"/>
          <w:color w:val="000000"/>
          <w:sz w:val="30"/>
          <w:szCs w:val="30"/>
        </w:rPr>
        <w:t>-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steroidal anti-inflammatory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drugs (NSAIDs) in older patients cause renal failure and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gastrointestinal hemorrhage, and medications such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asibuprofen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and ketorolac should be administered cautiously.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When administered, the dose of ketorolac should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be reduced to 15 mg IV every 6 hours, with a 60 mg 24-hourdose maximum.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Gabapentin, originally released for its antiepileptic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properties, is another useful opioid adjunct for post</w:t>
      </w:r>
      <w:r>
        <w:rPr>
          <w:rFonts w:asciiTheme="majorBidi" w:hAnsiTheme="majorBidi" w:cstheme="majorBidi"/>
          <w:color w:val="000000"/>
          <w:sz w:val="30"/>
          <w:szCs w:val="30"/>
        </w:rPr>
        <w:t>-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operative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pain control. Although most commonly used to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treat chronic neuropathic pain, it has been used preemptively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before surgery as well as following surgery. It is an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oral medication excreted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renally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>, and in elderly patients a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reduction in dose is recommended; larger doses are associated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with sedation.</w:t>
      </w:r>
    </w:p>
    <w:p w:rsidR="00E4617D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The role of nerve blocks for postoperative pain control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in elderly patients is increasingly important. Adequate, but safe, postoperative analgesia is very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important in the elderly. The total dose of local anesthetic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should be reduced as the metabolism and clearance of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local anesthetics is delayed in advanced age. Postoperative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epidural analgesia with local anesthetics or opioids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probably improves postoperative pulmonary outcomes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including (1) improved postoperative pain control, (2</w:t>
      </w:r>
      <w:proofErr w:type="gramStart"/>
      <w:r w:rsidRPr="0050182C">
        <w:rPr>
          <w:rFonts w:asciiTheme="majorBidi" w:hAnsiTheme="majorBidi" w:cstheme="majorBidi"/>
          <w:color w:val="000000"/>
          <w:sz w:val="30"/>
          <w:szCs w:val="30"/>
        </w:rPr>
        <w:t>)decline</w:t>
      </w:r>
      <w:proofErr w:type="gram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in atelectasis, (3) improved tracheal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extubation</w:t>
      </w:r>
      <w:proofErr w:type="spellEnd"/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variables, and (4) shorter intensive care unit stays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  <w:t>(</w:t>
      </w:r>
      <w:proofErr w:type="spellStart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Rigg</w:t>
      </w:r>
      <w:proofErr w:type="spellEnd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, </w:t>
      </w:r>
      <w:proofErr w:type="spellStart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Jamrozik</w:t>
      </w:r>
      <w:proofErr w:type="spellEnd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, et al., 2002</w:t>
      </w:r>
      <w:r w:rsidRPr="0050182C"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  <w:t>)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b/>
          <w:bCs/>
          <w:color w:val="000000"/>
          <w:sz w:val="30"/>
          <w:szCs w:val="30"/>
        </w:rPr>
        <w:t>Postoperative Neurologic Events: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lastRenderedPageBreak/>
        <w:t>The most common postoperative neurologic events in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the elderly are postoperative delirium and postoperative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cognitive dysfunction (POCD</w:t>
      </w:r>
      <w:proofErr w:type="gramStart"/>
      <w:r w:rsidRPr="0050182C">
        <w:rPr>
          <w:rFonts w:asciiTheme="majorBidi" w:hAnsiTheme="majorBidi" w:cstheme="majorBidi"/>
          <w:color w:val="000000"/>
          <w:sz w:val="30"/>
          <w:szCs w:val="30"/>
        </w:rPr>
        <w:t>)</w:t>
      </w:r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(</w:t>
      </w:r>
      <w:proofErr w:type="gramEnd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Moller, </w:t>
      </w:r>
      <w:proofErr w:type="spellStart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Cluitmans</w:t>
      </w:r>
      <w:proofErr w:type="spellEnd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, et al., 1998)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. Delirium refers to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anacute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state of confusion that generally </w:t>
      </w:r>
      <w:proofErr w:type="gramStart"/>
      <w:r w:rsidRPr="0050182C">
        <w:rPr>
          <w:rFonts w:asciiTheme="majorBidi" w:hAnsiTheme="majorBidi" w:cstheme="majorBidi"/>
          <w:color w:val="000000"/>
          <w:sz w:val="30"/>
          <w:szCs w:val="30"/>
        </w:rPr>
        <w:t>occurs</w:t>
      </w:r>
      <w:proofErr w:type="gram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within1 to 3 days following surgery. It can persist for weeks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or months after surgery. Delirium is not unique to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surgery patients; it also commonly develops in hospitalized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elderly patients, especially those admitted to the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intensive care unit. Delirium is a significant source of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morbidity and occurs in 15% to 60% of elderly patients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who have a hip fracture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(Inouye, 2006)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. POCD can increase length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of hospital stay, require discharge to rehabilitation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facilities as opposed to home, and is associated with an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increased mortality rate. 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There are multiple causes of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delirium in the postoperative patient. The more common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ones include acute metabolic derangements such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ashypo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>- or hypernatremia, hypoxemia, anemia, uremia,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sepsis, uncontrolled pain, disorientation, depression,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residual effects of anticholinergic medications, and alcohol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with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drawal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>. Treatment of delirium should start with a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search for an underlying reversible condition such as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hypoxemia or pain; unfortunately often there is no single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factor that is easily reversed. Agitated patients may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benefit from intravenously administered small doses of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haloperidol.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POCD is a distinct cognitive disorder found in patients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after anesthesia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(Moller, </w:t>
      </w:r>
      <w:proofErr w:type="spellStart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Cluitmans</w:t>
      </w:r>
      <w:proofErr w:type="spellEnd"/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, et al., 1998)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. It is diagnosed through neuropsychological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testing and results in subtle changes in mental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ability; unlike patients with delirium, POCD patients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arenot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acutely confused or agitated. In some studies 10%of older patients developed POCD 3 months after major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noncardiac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surgery. In most cases it resolved by 6 to12months, although its occurrence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lastRenderedPageBreak/>
        <w:t>has been associated with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an increased mortality rate. The role of anesthetics in the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development of POCD is a current focus of significant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research.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Perioperative stroke is an uncommon event following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general surgery; it occurs more frequently after head and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neck, vascular, and cardiac surgery. Risk factors for a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postoperative stroke include advanced age and predisposing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co-morbidities such as hypertension and reduced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ejection fraction of less than 40%. The most frequent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incidence of stroke occurs after cardiac and aortic surgery.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Most perioperative strokes are embolic and ischemic.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 perioperative stroke is associated with prolonged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hospitalization, increased disability, and death following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surgery.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b/>
          <w:bCs/>
          <w:color w:val="000000"/>
          <w:sz w:val="30"/>
          <w:szCs w:val="30"/>
        </w:rPr>
        <w:t>Reduction of Perioperative Risk: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12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Elderly patients have high mortality and morbidity rates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after surgery, especially after major and emergent surgery.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Reduction of risk should be aimed at avoiding complications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and limiting risk. The patient should be in optimal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condition preoperatively. Unfortunately it is not always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possible to delay surgery, especially in emergent situations.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Administration of perioperative b-adrenergic blockers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may reduce postoperative cardiac events through a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reduction in sympathetic tone, improved oxygen myocardial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supply/demand, and reduction in ventricular arrhythmias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as well as decreasing shear stress surrounding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atherosclerotic plaque. Perioperative b-adrenergic blockade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should be continued for the entire perioperative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period; abrupt discontinuation can increase the incidence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of adverse events. Patients with AHA Class 1 or2a indications should receive </w:t>
      </w:r>
      <m:oMath>
        <m:r>
          <w:rPr>
            <w:rFonts w:ascii="Cambria Math" w:hAnsi="Cambria Math" w:cstheme="majorBidi"/>
            <w:color w:val="000000"/>
            <w:sz w:val="30"/>
            <w:szCs w:val="30"/>
          </w:rPr>
          <m:t>β</m:t>
        </m:r>
      </m:oMath>
      <w:r w:rsidRPr="0050182C">
        <w:rPr>
          <w:rFonts w:asciiTheme="majorBidi" w:hAnsiTheme="majorBidi" w:cstheme="majorBidi"/>
          <w:color w:val="000000"/>
          <w:sz w:val="30"/>
          <w:szCs w:val="30"/>
        </w:rPr>
        <w:t>-adrenergic blockers;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more data are still needed to establish the most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effectiveuse</w:t>
      </w:r>
      <w:proofErr w:type="spell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of perioperative </w:t>
      </w:r>
      <m:oMath>
        <m:r>
          <w:rPr>
            <w:rFonts w:ascii="Cambria Math" w:hAnsi="Cambria Math" w:cstheme="majorBidi"/>
            <w:color w:val="000000"/>
            <w:sz w:val="30"/>
            <w:szCs w:val="30"/>
          </w:rPr>
          <m:t>β</m:t>
        </m:r>
      </m:oMath>
      <w:r w:rsidRPr="0050182C">
        <w:rPr>
          <w:rFonts w:asciiTheme="majorBidi" w:hAnsiTheme="majorBidi" w:cstheme="majorBidi"/>
          <w:color w:val="000000"/>
          <w:sz w:val="30"/>
          <w:szCs w:val="30"/>
        </w:rPr>
        <w:t>-blockade for elderly patients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  <w:t>(</w:t>
      </w:r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Fleisher, Beckman, et al., 2007</w:t>
      </w:r>
      <w:r w:rsidRPr="0050182C"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</w:rPr>
        <w:t>)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.55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12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lastRenderedPageBreak/>
        <w:t>As mentioned previously, appropriate pain control is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also </w:t>
      </w:r>
      <w:proofErr w:type="gramStart"/>
      <w:r w:rsidRPr="0050182C">
        <w:rPr>
          <w:rFonts w:asciiTheme="majorBidi" w:hAnsiTheme="majorBidi" w:cstheme="majorBidi"/>
          <w:color w:val="000000"/>
          <w:sz w:val="30"/>
          <w:szCs w:val="30"/>
        </w:rPr>
        <w:t>important,</w:t>
      </w:r>
      <w:proofErr w:type="gramEnd"/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 and epidural analgesia may have a significant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role in preventing pulmonary complications.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12" w:lineRule="auto"/>
        <w:ind w:firstLine="720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color w:val="000000"/>
          <w:sz w:val="30"/>
          <w:szCs w:val="30"/>
        </w:rPr>
        <w:t>Other measures that may be used to limit pulmonary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complications include using positive end-expiratory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pressure (5 to 10 cm H2O) to maintain FRC above closing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capacity. Maintaining a higher inspired </w:t>
      </w:r>
      <w:proofErr w:type="spellStart"/>
      <w:r w:rsidRPr="0050182C">
        <w:rPr>
          <w:rFonts w:asciiTheme="majorBidi" w:hAnsiTheme="majorBidi" w:cstheme="majorBidi"/>
          <w:color w:val="000000"/>
          <w:sz w:val="30"/>
          <w:szCs w:val="30"/>
        </w:rPr>
        <w:t>oxygencon</w:t>
      </w:r>
      <w:proofErr w:type="spellEnd"/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centration (&gt;30%) during surgery may reduce surgical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infections and lead to a reduced incidence of nausea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and vomiting (Table </w:t>
      </w:r>
      <w:r>
        <w:rPr>
          <w:rFonts w:asciiTheme="majorBidi" w:hAnsiTheme="majorBidi" w:cstheme="majorBidi"/>
          <w:color w:val="000000"/>
          <w:sz w:val="30"/>
          <w:szCs w:val="30"/>
        </w:rPr>
        <w:t>5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)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50182C">
        <w:rPr>
          <w:rFonts w:asciiTheme="majorBidi" w:hAnsiTheme="majorBidi" w:cstheme="majorBidi"/>
          <w:b/>
          <w:bCs/>
          <w:i/>
          <w:iCs/>
          <w:sz w:val="30"/>
          <w:szCs w:val="30"/>
        </w:rPr>
        <w:t>(Lawrence, Cornell, et al., 2006)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.</w:t>
      </w:r>
    </w:p>
    <w:p w:rsidR="00E4617D" w:rsidRPr="0050182C" w:rsidRDefault="00E4617D" w:rsidP="00E4617D">
      <w:pPr>
        <w:autoSpaceDE w:val="0"/>
        <w:autoSpaceDN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30"/>
          <w:szCs w:val="30"/>
        </w:rPr>
      </w:pPr>
      <w:r w:rsidRPr="0050182C">
        <w:rPr>
          <w:rFonts w:asciiTheme="majorBidi" w:hAnsiTheme="majorBidi" w:cstheme="majorBidi"/>
          <w:b/>
          <w:bCs/>
          <w:color w:val="000000"/>
          <w:sz w:val="30"/>
          <w:szCs w:val="30"/>
        </w:rPr>
        <w:t>Table 5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 xml:space="preserve">: </w:t>
      </w:r>
      <w:r w:rsidRPr="00515C36">
        <w:rPr>
          <w:rFonts w:asciiTheme="majorBidi" w:hAnsiTheme="majorBidi" w:cstheme="majorBidi"/>
          <w:b/>
          <w:bCs/>
          <w:color w:val="000000"/>
          <w:sz w:val="24"/>
          <w:szCs w:val="24"/>
        </w:rPr>
        <w:t>Guidelines for Treating Geriatric Patients</w:t>
      </w:r>
      <w:r w:rsidRPr="0050182C">
        <w:rPr>
          <w:rFonts w:asciiTheme="majorBidi" w:hAnsiTheme="majorBidi" w:cstheme="majorBidi"/>
          <w:color w:val="000000"/>
          <w:sz w:val="30"/>
          <w:szCs w:val="30"/>
        </w:rPr>
        <w:t>.</w:t>
      </w:r>
    </w:p>
    <w:tbl>
      <w:tblPr>
        <w:tblStyle w:val="TableGrid"/>
        <w:tblW w:w="8292" w:type="dxa"/>
        <w:jc w:val="center"/>
        <w:tblInd w:w="720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2"/>
      </w:tblGrid>
      <w:tr w:rsidR="00E4617D" w:rsidRPr="00F310E1" w:rsidTr="00D7513D">
        <w:trPr>
          <w:jc w:val="center"/>
        </w:trPr>
        <w:tc>
          <w:tcPr>
            <w:tcW w:w="8292" w:type="dxa"/>
          </w:tcPr>
          <w:p w:rsidR="00E4617D" w:rsidRPr="00F310E1" w:rsidRDefault="00E4617D" w:rsidP="00E461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310E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Advanced chronologic age is not a contraindication to surgery.</w:t>
            </w:r>
          </w:p>
        </w:tc>
      </w:tr>
      <w:tr w:rsidR="00E4617D" w:rsidRPr="00F310E1" w:rsidTr="00D7513D">
        <w:trPr>
          <w:jc w:val="center"/>
        </w:trPr>
        <w:tc>
          <w:tcPr>
            <w:tcW w:w="8292" w:type="dxa"/>
          </w:tcPr>
          <w:p w:rsidR="00E4617D" w:rsidRPr="00F310E1" w:rsidRDefault="00E4617D" w:rsidP="00E461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310E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Clinical presentation of disease may have been atypical, leading to delays and errors in diagnosis.</w:t>
            </w:r>
          </w:p>
        </w:tc>
      </w:tr>
      <w:tr w:rsidR="00E4617D" w:rsidRPr="00F310E1" w:rsidTr="00D7513D">
        <w:trPr>
          <w:jc w:val="center"/>
        </w:trPr>
        <w:tc>
          <w:tcPr>
            <w:tcW w:w="8292" w:type="dxa"/>
          </w:tcPr>
          <w:p w:rsidR="00E4617D" w:rsidRPr="00F310E1" w:rsidRDefault="00E4617D" w:rsidP="00E461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310E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Assume inter individual variability and titrate medications to physiologic effect when possible.</w:t>
            </w:r>
          </w:p>
        </w:tc>
      </w:tr>
      <w:tr w:rsidR="00E4617D" w:rsidRPr="00F310E1" w:rsidTr="00D7513D">
        <w:trPr>
          <w:jc w:val="center"/>
        </w:trPr>
        <w:tc>
          <w:tcPr>
            <w:tcW w:w="8292" w:type="dxa"/>
          </w:tcPr>
          <w:p w:rsidR="00E4617D" w:rsidRPr="00F310E1" w:rsidRDefault="00E4617D" w:rsidP="00E461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310E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Expect complexity: Multiple medications and illnesses are common, and persons older than 65 years of age have on average 3.5 medical diseases.</w:t>
            </w:r>
          </w:p>
        </w:tc>
      </w:tr>
      <w:tr w:rsidR="00E4617D" w:rsidRPr="00F310E1" w:rsidTr="00D7513D">
        <w:trPr>
          <w:jc w:val="center"/>
        </w:trPr>
        <w:tc>
          <w:tcPr>
            <w:tcW w:w="8292" w:type="dxa"/>
          </w:tcPr>
          <w:p w:rsidR="00E4617D" w:rsidRPr="00F310E1" w:rsidRDefault="00E4617D" w:rsidP="00E461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310E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Diminished organ reserve can be unpredictable and difficult to measure preoperatively; limitations may become apparent only during stress.</w:t>
            </w:r>
          </w:p>
        </w:tc>
      </w:tr>
      <w:tr w:rsidR="00E4617D" w:rsidRPr="00F310E1" w:rsidTr="00D7513D">
        <w:trPr>
          <w:jc w:val="center"/>
        </w:trPr>
        <w:tc>
          <w:tcPr>
            <w:tcW w:w="8292" w:type="dxa"/>
          </w:tcPr>
          <w:p w:rsidR="00E4617D" w:rsidRPr="00F310E1" w:rsidRDefault="00E4617D" w:rsidP="00E461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310E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 disproportionate increase in perioperative risk may occur without adequate preoperative optimization-for example, after emergent procedures.</w:t>
            </w:r>
          </w:p>
        </w:tc>
      </w:tr>
      <w:tr w:rsidR="00E4617D" w:rsidRPr="00F310E1" w:rsidTr="00D7513D">
        <w:trPr>
          <w:jc w:val="center"/>
        </w:trPr>
        <w:tc>
          <w:tcPr>
            <w:tcW w:w="8292" w:type="dxa"/>
          </w:tcPr>
          <w:p w:rsidR="00E4617D" w:rsidRPr="00F310E1" w:rsidRDefault="00E4617D" w:rsidP="00E461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310E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Meticulous attention to detail can help avoid minor complications, which in elderly patients can rapidly escalate into major adverse events.</w:t>
            </w:r>
          </w:p>
        </w:tc>
      </w:tr>
      <w:tr w:rsidR="00E4617D" w:rsidRPr="00F310E1" w:rsidTr="00D7513D">
        <w:trPr>
          <w:jc w:val="center"/>
        </w:trPr>
        <w:tc>
          <w:tcPr>
            <w:tcW w:w="8292" w:type="dxa"/>
          </w:tcPr>
          <w:p w:rsidR="00E4617D" w:rsidRPr="00F310E1" w:rsidRDefault="00E4617D" w:rsidP="00E4617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contextualSpacing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310E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Impact of extrinsic factors, such as smoking or those related to the environment or socioeconomic </w:t>
            </w:r>
            <w:proofErr w:type="gramStart"/>
            <w:r w:rsidRPr="00F310E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status,</w:t>
            </w:r>
            <w:proofErr w:type="gramEnd"/>
            <w:r w:rsidRPr="00F310E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is difficult to quantify.</w:t>
            </w:r>
          </w:p>
        </w:tc>
      </w:tr>
    </w:tbl>
    <w:p w:rsidR="00E4617D" w:rsidRDefault="00E4617D" w:rsidP="00E4617D">
      <w:pPr>
        <w:pStyle w:val="Title"/>
        <w:spacing w:before="0" w:after="0"/>
        <w:rPr>
          <w:rFonts w:asciiTheme="majorBidi" w:hAnsiTheme="majorBidi" w:cstheme="majorBidi"/>
          <w:sz w:val="36"/>
          <w:szCs w:val="36"/>
        </w:rPr>
      </w:pPr>
    </w:p>
    <w:p w:rsidR="00132C7C" w:rsidRPr="00BE507F" w:rsidRDefault="00132C7C" w:rsidP="00BE507F">
      <w:bookmarkStart w:id="0" w:name="_GoBack"/>
      <w:bookmarkEnd w:id="0"/>
    </w:p>
    <w:sectPr w:rsidR="00132C7C" w:rsidRPr="00BE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1E" w:rsidRDefault="0018371E" w:rsidP="00430C64">
      <w:pPr>
        <w:spacing w:after="0" w:line="240" w:lineRule="auto"/>
      </w:pPr>
      <w:r>
        <w:separator/>
      </w:r>
    </w:p>
  </w:endnote>
  <w:endnote w:type="continuationSeparator" w:id="0">
    <w:p w:rsidR="0018371E" w:rsidRDefault="0018371E" w:rsidP="004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1E" w:rsidRDefault="0018371E" w:rsidP="00430C64">
      <w:pPr>
        <w:spacing w:after="0" w:line="240" w:lineRule="auto"/>
      </w:pPr>
      <w:r>
        <w:separator/>
      </w:r>
    </w:p>
  </w:footnote>
  <w:footnote w:type="continuationSeparator" w:id="0">
    <w:p w:rsidR="0018371E" w:rsidRDefault="0018371E" w:rsidP="004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356B"/>
    <w:multiLevelType w:val="hybridMultilevel"/>
    <w:tmpl w:val="0AD29C2A"/>
    <w:lvl w:ilvl="0" w:tplc="87E6EA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E95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C95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430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89E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096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A84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E63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45B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61167"/>
    <w:multiLevelType w:val="hybridMultilevel"/>
    <w:tmpl w:val="A03A6E70"/>
    <w:lvl w:ilvl="0" w:tplc="1ED2B2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89F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0C0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CF4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A3E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40B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212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EC4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208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C5022"/>
    <w:multiLevelType w:val="multilevel"/>
    <w:tmpl w:val="F39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5E78C3"/>
    <w:multiLevelType w:val="hybridMultilevel"/>
    <w:tmpl w:val="22FC8AC4"/>
    <w:lvl w:ilvl="0" w:tplc="59F22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8162F"/>
    <w:multiLevelType w:val="hybridMultilevel"/>
    <w:tmpl w:val="909426FE"/>
    <w:lvl w:ilvl="0" w:tplc="3B604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299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ECF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841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28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E1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0E1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C3A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6CC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DC7C06"/>
    <w:multiLevelType w:val="hybridMultilevel"/>
    <w:tmpl w:val="65B8DB7A"/>
    <w:lvl w:ilvl="0" w:tplc="794CD0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03A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44D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C0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0DE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012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17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252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ED7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B5"/>
    <w:rsid w:val="0000757B"/>
    <w:rsid w:val="000F31EC"/>
    <w:rsid w:val="00132C7C"/>
    <w:rsid w:val="001353E0"/>
    <w:rsid w:val="001437E3"/>
    <w:rsid w:val="0018371E"/>
    <w:rsid w:val="00287C98"/>
    <w:rsid w:val="002937B5"/>
    <w:rsid w:val="00430C64"/>
    <w:rsid w:val="005121AF"/>
    <w:rsid w:val="00751C74"/>
    <w:rsid w:val="00797FA7"/>
    <w:rsid w:val="0083514A"/>
    <w:rsid w:val="00905B55"/>
    <w:rsid w:val="009F236F"/>
    <w:rsid w:val="009F3A0A"/>
    <w:rsid w:val="00A824F4"/>
    <w:rsid w:val="00BE507F"/>
    <w:rsid w:val="00C0431E"/>
    <w:rsid w:val="00C64387"/>
    <w:rsid w:val="00E4617D"/>
    <w:rsid w:val="00E7646F"/>
    <w:rsid w:val="00ED33A0"/>
    <w:rsid w:val="00FB7B95"/>
    <w:rsid w:val="00F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64"/>
  </w:style>
  <w:style w:type="paragraph" w:styleId="Footer">
    <w:name w:val="footer"/>
    <w:basedOn w:val="Normal"/>
    <w:link w:val="FooterChar"/>
    <w:uiPriority w:val="99"/>
    <w:unhideWhenUsed/>
    <w:rsid w:val="0043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64"/>
  </w:style>
  <w:style w:type="paragraph" w:styleId="NormalWeb">
    <w:name w:val="Normal (Web)"/>
    <w:basedOn w:val="Normal"/>
    <w:uiPriority w:val="99"/>
    <w:semiHidden/>
    <w:unhideWhenUsed/>
    <w:rsid w:val="0090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2C7C"/>
    <w:rPr>
      <w:b/>
      <w:bCs/>
    </w:rPr>
  </w:style>
  <w:style w:type="paragraph" w:styleId="ListParagraph">
    <w:name w:val="List Paragraph"/>
    <w:basedOn w:val="Normal"/>
    <w:uiPriority w:val="34"/>
    <w:qFormat/>
    <w:rsid w:val="00132C7C"/>
    <w:pPr>
      <w:ind w:left="720"/>
      <w:contextualSpacing/>
    </w:pPr>
  </w:style>
  <w:style w:type="table" w:styleId="TableGrid">
    <w:name w:val="Table Grid"/>
    <w:basedOn w:val="TableNormal"/>
    <w:uiPriority w:val="59"/>
    <w:rsid w:val="00E4617D"/>
    <w:pPr>
      <w:spacing w:after="0" w:line="240" w:lineRule="auto"/>
      <w:jc w:val="lowKashida"/>
    </w:pPr>
    <w:rPr>
      <w:rFonts w:ascii="Times New Roman" w:hAnsi="Times New Roman" w:cs="Simplified Arabic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4617D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TitleChar">
    <w:name w:val="Title Char"/>
    <w:basedOn w:val="DefaultParagraphFont"/>
    <w:link w:val="Title"/>
    <w:rsid w:val="00E4617D"/>
    <w:rPr>
      <w:rFonts w:ascii="Times New Roman" w:eastAsia="Times New Roman" w:hAnsi="Times New Roman" w:cs="Times New Roman"/>
      <w:b/>
      <w:bCs/>
      <w:sz w:val="44"/>
      <w:szCs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64"/>
  </w:style>
  <w:style w:type="paragraph" w:styleId="Footer">
    <w:name w:val="footer"/>
    <w:basedOn w:val="Normal"/>
    <w:link w:val="FooterChar"/>
    <w:uiPriority w:val="99"/>
    <w:unhideWhenUsed/>
    <w:rsid w:val="0043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64"/>
  </w:style>
  <w:style w:type="paragraph" w:styleId="NormalWeb">
    <w:name w:val="Normal (Web)"/>
    <w:basedOn w:val="Normal"/>
    <w:uiPriority w:val="99"/>
    <w:semiHidden/>
    <w:unhideWhenUsed/>
    <w:rsid w:val="0090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2C7C"/>
    <w:rPr>
      <w:b/>
      <w:bCs/>
    </w:rPr>
  </w:style>
  <w:style w:type="paragraph" w:styleId="ListParagraph">
    <w:name w:val="List Paragraph"/>
    <w:basedOn w:val="Normal"/>
    <w:uiPriority w:val="34"/>
    <w:qFormat/>
    <w:rsid w:val="00132C7C"/>
    <w:pPr>
      <w:ind w:left="720"/>
      <w:contextualSpacing/>
    </w:pPr>
  </w:style>
  <w:style w:type="table" w:styleId="TableGrid">
    <w:name w:val="Table Grid"/>
    <w:basedOn w:val="TableNormal"/>
    <w:uiPriority w:val="59"/>
    <w:rsid w:val="00E4617D"/>
    <w:pPr>
      <w:spacing w:after="0" w:line="240" w:lineRule="auto"/>
      <w:jc w:val="lowKashida"/>
    </w:pPr>
    <w:rPr>
      <w:rFonts w:ascii="Times New Roman" w:hAnsi="Times New Roman" w:cs="Simplified Arabic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4617D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TitleChar">
    <w:name w:val="Title Char"/>
    <w:basedOn w:val="DefaultParagraphFont"/>
    <w:link w:val="Title"/>
    <w:rsid w:val="00E4617D"/>
    <w:rPr>
      <w:rFonts w:ascii="Times New Roman" w:eastAsia="Times New Roman" w:hAnsi="Times New Roman" w:cs="Times New Roman"/>
      <w:b/>
      <w:bCs/>
      <w:sz w:val="44"/>
      <w:szCs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904">
          <w:marLeft w:val="0"/>
          <w:marRight w:val="72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559">
          <w:marLeft w:val="0"/>
          <w:marRight w:val="72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412">
          <w:marLeft w:val="0"/>
          <w:marRight w:val="72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72">
          <w:marLeft w:val="0"/>
          <w:marRight w:val="72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394">
          <w:marLeft w:val="0"/>
          <w:marRight w:val="72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3067">
          <w:marLeft w:val="0"/>
          <w:marRight w:val="72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959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013">
          <w:marLeft w:val="0"/>
          <w:marRight w:val="14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9</Pages>
  <Words>2257</Words>
  <Characters>12868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2018-06-28T11:14:00Z</cp:lastPrinted>
  <dcterms:created xsi:type="dcterms:W3CDTF">2018-02-05T08:12:00Z</dcterms:created>
  <dcterms:modified xsi:type="dcterms:W3CDTF">2018-06-28T11:22:00Z</dcterms:modified>
</cp:coreProperties>
</file>